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声明：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500" w:firstLineChars="25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 xml:space="preserve">认证申请方（或生产企业）：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500" w:firstLineChars="25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日期：     （公章）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</w:p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申请认证产品信息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  <w:u w:val="single"/>
        </w:rPr>
      </w:pPr>
      <w:r>
        <w:rPr>
          <w:rFonts w:hint="eastAsia" w:ascii="仿宋" w:hAnsi="仿宋" w:eastAsia="仿宋"/>
          <w:szCs w:val="21"/>
        </w:rPr>
        <w:t>认证单元产品名称</w:t>
      </w:r>
      <w:r>
        <w:rPr>
          <w:rFonts w:ascii="仿宋" w:hAnsi="仿宋" w:eastAsia="仿宋"/>
          <w:szCs w:val="21"/>
        </w:rPr>
        <w:t>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  <w:u w:val="single"/>
        </w:rPr>
      </w:pPr>
      <w:r>
        <w:rPr>
          <w:rFonts w:hint="eastAsia" w:ascii="仿宋" w:hAnsi="仿宋" w:eastAsia="仿宋"/>
          <w:szCs w:val="21"/>
        </w:rPr>
        <w:t>单元内覆盖的产品规格型号：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产品参数描述：</w:t>
      </w:r>
      <w:r>
        <w:rPr>
          <w:rFonts w:hint="eastAsia" w:ascii="仿宋" w:hAnsi="仿宋" w:eastAsia="仿宋"/>
          <w:color w:val="FF0000"/>
          <w:szCs w:val="21"/>
        </w:rPr>
        <w:t>（如与样品一致可参见样品参数）</w:t>
      </w:r>
    </w:p>
    <w:tbl>
      <w:tblPr>
        <w:tblStyle w:val="2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5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技术参数</w:t>
            </w:r>
          </w:p>
        </w:tc>
        <w:tc>
          <w:tcPr>
            <w:tcW w:w="750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参数描述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06" w:type="dxa"/>
          </w:tcPr>
          <w:p>
            <w:pPr>
              <w:pStyle w:val="31"/>
              <w:numPr>
                <w:ilvl w:val="0"/>
                <w:numId w:val="3"/>
              </w:numPr>
              <w:ind w:firstLineChars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0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300" w:lineRule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color w:val="FF0000"/>
        </w:rPr>
        <w:t>注：按认证规则及认证依据标准的要求编制。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关键原材料</w:t>
      </w:r>
    </w:p>
    <w:tbl>
      <w:tblPr>
        <w:tblStyle w:val="2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93"/>
        <w:gridCol w:w="1275"/>
        <w:gridCol w:w="1418"/>
        <w:gridCol w:w="1276"/>
        <w:gridCol w:w="1559"/>
        <w:gridCol w:w="25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N</w:t>
            </w:r>
            <w:r>
              <w:rPr>
                <w:rFonts w:hint="eastAsia" w:ascii="仿宋" w:hAnsi="仿宋" w:eastAsia="仿宋"/>
                <w:szCs w:val="21"/>
              </w:rPr>
              <w:t>o.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材料名称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规格/型号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参数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制造商</w:t>
            </w:r>
          </w:p>
        </w:tc>
        <w:tc>
          <w:tcPr>
            <w:tcW w:w="2545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试验报告/认证证书编号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认证单元内产品的差异描述：</w:t>
      </w:r>
    </w:p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检验样品信息(适用于企业送样)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样品名称：    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规格型号：      </w:t>
      </w:r>
    </w:p>
    <w:p>
      <w:pPr>
        <w:pStyle w:val="31"/>
        <w:snapToGrid w:val="0"/>
        <w:spacing w:line="300" w:lineRule="auto"/>
        <w:ind w:left="567" w:firstLine="0"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主送型号：       规格：</w:t>
      </w:r>
    </w:p>
    <w:p>
      <w:pPr>
        <w:pStyle w:val="31"/>
        <w:snapToGrid w:val="0"/>
        <w:spacing w:line="300" w:lineRule="auto"/>
        <w:ind w:left="567" w:firstLine="0"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覆盖型号：       规格：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样品的参数描述：</w:t>
      </w:r>
    </w:p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电器附件的类型：</w:t>
      </w:r>
    </w:p>
    <w:p>
      <w:pPr>
        <w:ind w:firstLine="1050" w:firstLineChars="5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□单项插头  □ 固定式插座     □移动式插座  □器具插座  □三相插头   □三相插座</w:t>
      </w:r>
    </w:p>
    <w:p>
      <w:pPr>
        <w:pStyle w:val="31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防有害进水的保护等级：</w:t>
      </w:r>
    </w:p>
    <w:p>
      <w:pPr>
        <w:pStyle w:val="31"/>
        <w:snapToGrid w:val="0"/>
        <w:spacing w:line="300" w:lineRule="auto"/>
        <w:ind w:left="425"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□ 普通电器附件（</w:t>
      </w:r>
      <w:r>
        <w:rPr>
          <w:rFonts w:ascii="仿宋" w:hAnsi="仿宋" w:eastAsia="仿宋"/>
        </w:rPr>
        <w:t>IPX0</w:t>
      </w:r>
      <w:r>
        <w:rPr>
          <w:rFonts w:hint="eastAsia" w:ascii="仿宋" w:hAnsi="仿宋" w:eastAsia="仿宋"/>
        </w:rPr>
        <w:t>或</w:t>
      </w:r>
      <w:r>
        <w:rPr>
          <w:rFonts w:ascii="仿宋" w:hAnsi="仿宋" w:eastAsia="仿宋"/>
        </w:rPr>
        <w:t>IPX1</w:t>
      </w:r>
      <w:r>
        <w:rPr>
          <w:rFonts w:hint="eastAsia" w:ascii="仿宋" w:hAnsi="仿宋" w:eastAsia="仿宋"/>
        </w:rPr>
        <w:t>）   □ 防溅电器附件（</w:t>
      </w:r>
      <w:r>
        <w:rPr>
          <w:rFonts w:ascii="仿宋" w:hAnsi="仿宋" w:eastAsia="仿宋"/>
        </w:rPr>
        <w:t>IPX4</w:t>
      </w:r>
      <w:r>
        <w:rPr>
          <w:rFonts w:hint="eastAsia" w:ascii="仿宋" w:hAnsi="仿宋" w:eastAsia="仿宋"/>
        </w:rPr>
        <w:t>） □ 防喷电器附件（</w:t>
      </w:r>
      <w:r>
        <w:rPr>
          <w:rFonts w:ascii="仿宋" w:hAnsi="仿宋" w:eastAsia="仿宋"/>
        </w:rPr>
        <w:t>IPX5</w:t>
      </w:r>
      <w:r>
        <w:rPr>
          <w:rFonts w:hint="eastAsia" w:ascii="仿宋" w:hAnsi="仿宋" w:eastAsia="仿宋"/>
        </w:rPr>
        <w:t>）</w:t>
      </w:r>
    </w:p>
    <w:p>
      <w:pPr>
        <w:pStyle w:val="31"/>
        <w:ind w:left="425" w:firstLine="630" w:firstLineChars="300"/>
        <w:rPr>
          <w:rFonts w:ascii="仿宋" w:hAnsi="仿宋" w:eastAsia="仿宋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接地措施：</w:t>
      </w:r>
    </w:p>
    <w:p>
      <w:pPr>
        <w:pStyle w:val="31"/>
        <w:snapToGrid w:val="0"/>
        <w:spacing w:line="300" w:lineRule="auto"/>
        <w:ind w:left="567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□ 有接地触头□ 无接地触头</w:t>
      </w:r>
    </w:p>
    <w:p>
      <w:pPr>
        <w:pStyle w:val="31"/>
        <w:snapToGrid w:val="0"/>
        <w:spacing w:line="300" w:lineRule="auto"/>
        <w:ind w:left="567" w:firstLine="0" w:firstLineChars="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连接软缆的方式：</w:t>
      </w:r>
    </w:p>
    <w:p>
      <w:pPr>
        <w:pStyle w:val="31"/>
        <w:snapToGrid w:val="0"/>
        <w:spacing w:line="300" w:lineRule="auto"/>
        <w:ind w:left="567" w:firstLine="0"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□可拆线   □ 不可拆线</w:t>
      </w:r>
    </w:p>
    <w:p>
      <w:pPr>
        <w:pStyle w:val="31"/>
        <w:snapToGrid w:val="0"/>
        <w:spacing w:line="300" w:lineRule="auto"/>
        <w:ind w:left="567" w:firstLine="0" w:firstLineChars="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端子类型：</w:t>
      </w:r>
    </w:p>
    <w:p>
      <w:pPr>
        <w:pStyle w:val="31"/>
        <w:ind w:left="425"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 螺纹型端子□ 仅适于连接硬导线的无螺纹型端子</w:t>
      </w:r>
    </w:p>
    <w:p>
      <w:pPr>
        <w:pStyle w:val="31"/>
        <w:snapToGrid w:val="0"/>
        <w:spacing w:line="300" w:lineRule="auto"/>
        <w:ind w:left="425"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□适于连接硬导线和软导线的无螺纹端子</w:t>
      </w:r>
    </w:p>
    <w:p>
      <w:pPr>
        <w:pStyle w:val="31"/>
        <w:snapToGrid w:val="0"/>
        <w:spacing w:line="300" w:lineRule="auto"/>
        <w:ind w:left="425" w:firstLine="630" w:firstLineChars="30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正常使用安装之后的防触电保护：</w:t>
      </w:r>
    </w:p>
    <w:p>
      <w:pPr>
        <w:snapToGrid w:val="0"/>
        <w:spacing w:line="300" w:lineRule="auto"/>
        <w:ind w:firstLine="1050" w:firstLineChars="5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 正常保护     □ 加强保护</w:t>
      </w:r>
    </w:p>
    <w:p>
      <w:pPr>
        <w:snapToGrid w:val="0"/>
        <w:spacing w:line="300" w:lineRule="auto"/>
        <w:ind w:firstLine="1050" w:firstLineChars="50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外壳：</w:t>
      </w:r>
      <w:r>
        <w:rPr>
          <w:rFonts w:hint="eastAsia" w:ascii="仿宋" w:hAnsi="仿宋" w:eastAsia="仿宋"/>
        </w:rPr>
        <w:t>□ 有    □ 无</w:t>
      </w:r>
    </w:p>
    <w:p>
      <w:pPr>
        <w:pStyle w:val="31"/>
        <w:snapToGrid w:val="0"/>
        <w:spacing w:line="300" w:lineRule="auto"/>
        <w:ind w:left="567" w:firstLine="0" w:firstLineChars="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保护门：</w:t>
      </w:r>
      <w:r>
        <w:rPr>
          <w:rFonts w:hint="eastAsia" w:ascii="仿宋" w:hAnsi="仿宋" w:eastAsia="仿宋"/>
        </w:rPr>
        <w:t>□ 有    □ 无</w:t>
      </w:r>
    </w:p>
    <w:p>
      <w:pPr>
        <w:pStyle w:val="31"/>
        <w:snapToGrid w:val="0"/>
        <w:spacing w:line="300" w:lineRule="auto"/>
        <w:ind w:left="567" w:firstLine="0" w:firstLineChars="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使用/安装方式：</w:t>
      </w:r>
    </w:p>
    <w:p>
      <w:pPr>
        <w:pStyle w:val="31"/>
        <w:spacing w:after="93"/>
        <w:ind w:left="425"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 明装式□ 暗装式□ 半暗装式</w:t>
      </w:r>
    </w:p>
    <w:p>
      <w:pPr>
        <w:pStyle w:val="31"/>
        <w:ind w:left="425"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 镶板式    □ 框缘式        □移动式插座</w:t>
      </w:r>
    </w:p>
    <w:p>
      <w:pPr>
        <w:pStyle w:val="31"/>
        <w:snapToGrid w:val="0"/>
        <w:spacing w:line="300" w:lineRule="auto"/>
        <w:ind w:left="425"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 台式      □ 地板暗装式    □ 电器上的插座</w:t>
      </w:r>
    </w:p>
    <w:p>
      <w:pPr>
        <w:pStyle w:val="31"/>
        <w:snapToGrid w:val="0"/>
        <w:spacing w:line="300" w:lineRule="auto"/>
        <w:ind w:left="425" w:firstLine="630" w:firstLineChars="30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结构决定安装方法：</w:t>
      </w:r>
    </w:p>
    <w:p>
      <w:pPr>
        <w:pStyle w:val="31"/>
        <w:spacing w:after="93"/>
        <w:ind w:left="425"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 无需移动导线便可拆卸盖或盖板的固定式插座（结构</w:t>
      </w:r>
      <w:r>
        <w:rPr>
          <w:rFonts w:ascii="仿宋" w:hAnsi="仿宋" w:eastAsia="仿宋"/>
        </w:rPr>
        <w:t>A</w:t>
      </w:r>
      <w:r>
        <w:rPr>
          <w:rFonts w:hint="eastAsia" w:ascii="仿宋" w:hAnsi="仿宋" w:eastAsia="仿宋"/>
        </w:rPr>
        <w:t>）</w:t>
      </w:r>
    </w:p>
    <w:p>
      <w:pPr>
        <w:pStyle w:val="31"/>
        <w:ind w:left="425"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 不移动导线便不能拆卸盖或盖板的固定式插座（结构</w:t>
      </w:r>
      <w:r>
        <w:rPr>
          <w:rFonts w:ascii="仿宋" w:hAnsi="仿宋" w:eastAsia="仿宋"/>
        </w:rPr>
        <w:t>B</w:t>
      </w:r>
      <w:r>
        <w:rPr>
          <w:rFonts w:hint="eastAsia" w:ascii="仿宋" w:hAnsi="仿宋" w:eastAsia="仿宋"/>
        </w:rPr>
        <w:t>）</w:t>
      </w:r>
    </w:p>
    <w:p>
      <w:pPr>
        <w:pStyle w:val="31"/>
        <w:snapToGrid w:val="0"/>
        <w:spacing w:line="300" w:lineRule="auto"/>
        <w:ind w:left="425" w:firstLine="0" w:firstLineChars="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插头极性分类：</w:t>
      </w:r>
    </w:p>
    <w:p>
      <w:pPr>
        <w:pStyle w:val="31"/>
        <w:snapToGrid w:val="0"/>
        <w:spacing w:line="300" w:lineRule="auto"/>
        <w:ind w:left="567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□单相两极带接地插头    □ 单相两极插头     □ 三相四极插头</w:t>
      </w:r>
    </w:p>
    <w:p>
      <w:pPr>
        <w:pStyle w:val="31"/>
        <w:snapToGrid w:val="0"/>
        <w:spacing w:line="300" w:lineRule="auto"/>
        <w:ind w:left="567" w:firstLine="0" w:firstLineChars="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软线/软缆的型号规格及截面积：</w:t>
      </w:r>
    </w:p>
    <w:p>
      <w:pPr>
        <w:pStyle w:val="31"/>
        <w:snapToGrid w:val="0"/>
        <w:spacing w:line="300" w:lineRule="auto"/>
        <w:ind w:left="567" w:firstLine="0" w:firstLineChars="0"/>
        <w:rPr>
          <w:rFonts w:ascii="仿宋" w:hAnsi="仿宋" w:eastAsia="仿宋"/>
          <w:szCs w:val="21"/>
        </w:rPr>
      </w:pPr>
    </w:p>
    <w:p>
      <w:pPr>
        <w:snapToGrid w:val="0"/>
        <w:spacing w:line="30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注：根据认证规则中的样品要求，认证申请方填写符合检验要求的样品信息。</w:t>
      </w: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图纸照片（以电子图片方式附后）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图纸：产品结构/装配图纸、电气原理图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Cs/>
          <w:szCs w:val="21"/>
        </w:rPr>
        <w:t>照片：外观、包装、铭牌、标签照片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Cs/>
          <w:szCs w:val="21"/>
        </w:rPr>
        <w:t>工艺配方</w:t>
      </w:r>
      <w:r>
        <w:rPr>
          <w:rFonts w:hint="eastAsia" w:ascii="仿宋" w:hAnsi="仿宋" w:eastAsia="仿宋"/>
          <w:szCs w:val="21"/>
        </w:rPr>
        <w:t>、材料组成、工艺流程（图）</w:t>
      </w:r>
    </w:p>
    <w:p>
      <w:pPr>
        <w:snapToGrid w:val="0"/>
        <w:spacing w:line="30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注：根据产品种类及认证特性，选定“图纸照片”的类型并明确填报要求。</w:t>
      </w: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其他（适用时）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非金属零部件材料：</w:t>
      </w:r>
    </w:p>
    <w:tbl>
      <w:tblPr>
        <w:tblStyle w:val="2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065"/>
        <w:gridCol w:w="1886"/>
        <w:gridCol w:w="2409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N</w:t>
            </w:r>
            <w:r>
              <w:rPr>
                <w:rFonts w:hint="eastAsia" w:ascii="仿宋" w:hAnsi="仿宋" w:eastAsia="仿宋"/>
                <w:szCs w:val="21"/>
              </w:rPr>
              <w:t>o.</w:t>
            </w:r>
          </w:p>
        </w:tc>
        <w:tc>
          <w:tcPr>
            <w:tcW w:w="2065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外壳材料</w:t>
            </w:r>
          </w:p>
        </w:tc>
        <w:tc>
          <w:tcPr>
            <w:tcW w:w="188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底座材料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内胆</w:t>
            </w:r>
            <w:r>
              <w:rPr>
                <w:rFonts w:hint="eastAsia" w:ascii="仿宋" w:hAnsi="仿宋" w:eastAsia="仿宋"/>
                <w:szCs w:val="21"/>
              </w:rPr>
              <w:t>（架）</w:t>
            </w:r>
            <w:r>
              <w:rPr>
                <w:rFonts w:ascii="仿宋" w:hAnsi="仿宋" w:eastAsia="仿宋"/>
                <w:szCs w:val="21"/>
              </w:rPr>
              <w:t>材料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认证说明/</w:t>
            </w:r>
            <w:r>
              <w:rPr>
                <w:rFonts w:ascii="仿宋" w:hAnsi="仿宋" w:eastAsia="仿宋"/>
                <w:szCs w:val="21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  <w:bCs/>
          <w:color w:val="FF0000"/>
          <w:szCs w:val="21"/>
        </w:rPr>
      </w:pPr>
      <w:r>
        <w:rPr>
          <w:rFonts w:hint="eastAsia" w:ascii="仿宋" w:hAnsi="仿宋" w:eastAsia="仿宋"/>
          <w:bCs/>
          <w:color w:val="FF0000"/>
          <w:szCs w:val="21"/>
        </w:rPr>
        <w:t>注：表中报告扫描电子版附后。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907" w:right="1134" w:bottom="794" w:left="1134" w:header="454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方正宋黑简体" w:hAnsi="黑体" w:eastAsia="方正宋黑简体"/>
        <w:color w:val="0070C0"/>
        <w:sz w:val="18"/>
        <w:szCs w:val="18"/>
      </w:rPr>
    </w:pPr>
    <w:r>
      <w:rPr>
        <w:rFonts w:hint="eastAsia" w:ascii="方正宋黑简体" w:hAnsi="黑体" w:eastAsia="方正宋黑简体"/>
        <w:color w:val="0070C0"/>
        <w:sz w:val="18"/>
        <w:szCs w:val="18"/>
      </w:rPr>
      <w:t>第</w:t>
    </w:r>
    <w:r>
      <w:rPr>
        <w:rFonts w:ascii="方正宋黑简体" w:hAnsi="黑体" w:eastAsia="方正宋黑简体"/>
        <w:color w:val="0070C0"/>
        <w:sz w:val="18"/>
        <w:szCs w:val="18"/>
      </w:rPr>
      <w:fldChar w:fldCharType="begin"/>
    </w:r>
    <w:r>
      <w:rPr>
        <w:rFonts w:ascii="方正宋黑简体" w:hAnsi="黑体" w:eastAsia="方正宋黑简体"/>
        <w:color w:val="0070C0"/>
        <w:sz w:val="18"/>
        <w:szCs w:val="18"/>
      </w:rPr>
      <w:instrText xml:space="preserve"> PAGE   \* MERGEFORMAT </w:instrText>
    </w:r>
    <w:r>
      <w:rPr>
        <w:rFonts w:ascii="方正宋黑简体" w:hAnsi="黑体" w:eastAsia="方正宋黑简体"/>
        <w:color w:val="0070C0"/>
        <w:sz w:val="18"/>
        <w:szCs w:val="18"/>
      </w:rPr>
      <w:fldChar w:fldCharType="separate"/>
    </w:r>
    <w:r>
      <w:rPr>
        <w:rFonts w:ascii="方正宋黑简体" w:hAnsi="黑体" w:eastAsia="方正宋黑简体"/>
        <w:color w:val="0070C0"/>
        <w:sz w:val="18"/>
        <w:szCs w:val="18"/>
      </w:rPr>
      <w:t>2</w:t>
    </w:r>
    <w:r>
      <w:rPr>
        <w:rFonts w:ascii="方正宋黑简体" w:hAnsi="黑体" w:eastAsia="方正宋黑简体"/>
        <w:color w:val="0070C0"/>
        <w:sz w:val="18"/>
        <w:szCs w:val="18"/>
      </w:rPr>
      <w:fldChar w:fldCharType="end"/>
    </w:r>
    <w:r>
      <w:rPr>
        <w:rFonts w:hint="eastAsia" w:ascii="方正宋黑简体" w:hAnsi="黑体" w:eastAsia="方正宋黑简体"/>
        <w:color w:val="0070C0"/>
        <w:sz w:val="18"/>
        <w:szCs w:val="18"/>
      </w:rPr>
      <w:t>页 共</w:t>
    </w:r>
    <w:r>
      <w:fldChar w:fldCharType="begin"/>
    </w:r>
    <w:r>
      <w:instrText xml:space="preserve">NUMPAGES   \* MERGEFORMAT</w:instrText>
    </w:r>
    <w:r>
      <w:fldChar w:fldCharType="separate"/>
    </w:r>
    <w:r>
      <w:rPr>
        <w:rFonts w:ascii="方正宋黑简体" w:hAnsi="黑体" w:eastAsia="方正宋黑简体"/>
        <w:color w:val="0070C0"/>
        <w:sz w:val="18"/>
        <w:szCs w:val="18"/>
      </w:rPr>
      <w:t>3</w:t>
    </w:r>
    <w:r>
      <w:rPr>
        <w:rFonts w:ascii="方正宋黑简体" w:hAnsi="黑体" w:eastAsia="方正宋黑简体"/>
        <w:color w:val="0070C0"/>
        <w:sz w:val="18"/>
        <w:szCs w:val="18"/>
      </w:rPr>
      <w:fldChar w:fldCharType="end"/>
    </w:r>
    <w:r>
      <w:rPr>
        <w:rFonts w:hint="eastAsia" w:ascii="方正宋黑简体" w:hAnsi="黑体" w:eastAsia="方正宋黑简体"/>
        <w:color w:val="0070C0"/>
        <w:sz w:val="18"/>
        <w:szCs w:val="1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5"/>
      <w:tblW w:w="0" w:type="auto"/>
      <w:jc w:val="center"/>
      <w:tblBorders>
        <w:top w:val="none" w:color="auto" w:sz="0" w:space="0"/>
        <w:left w:val="none" w:color="auto" w:sz="0" w:space="0"/>
        <w:bottom w:val="double" w:color="366091" w:themeColor="accent1" w:themeShade="BF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01"/>
      <w:gridCol w:w="5812"/>
      <w:gridCol w:w="2115"/>
    </w:tblGrid>
    <w:tr>
      <w:tblPrEx>
        <w:tblBorders>
          <w:top w:val="none" w:color="auto" w:sz="0" w:space="0"/>
          <w:left w:val="none" w:color="auto" w:sz="0" w:space="0"/>
          <w:bottom w:val="double" w:color="366091" w:themeColor="accent1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67" w:hRule="atLeast"/>
        <w:jc w:val="center"/>
      </w:trPr>
      <w:tc>
        <w:tcPr>
          <w:tcW w:w="1701" w:type="dxa"/>
        </w:tcPr>
        <w:p>
          <w:pPr>
            <w:snapToGrid w:val="0"/>
          </w:pPr>
          <w:r>
            <w:drawing>
              <wp:inline distT="0" distB="0" distL="0" distR="0">
                <wp:extent cx="856615" cy="605155"/>
                <wp:effectExtent l="0" t="0" r="635" b="4445"/>
                <wp:docPr id="4" name="图片 4" descr="C:\Users\hjl\Desktop\台式机桌面\修改文件\换标\基础LOGO及组合形式\标准LOGO.png标准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:\Users\hjl\Desktop\台式机桌面\修改文件\换标\基础LOGO及组合形式\标准LOGO.png标准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605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>
          <w:pPr>
            <w:snapToGrid w:val="0"/>
            <w:jc w:val="center"/>
            <w:rPr>
              <w:rFonts w:ascii="黑体" w:hAnsi="黑体" w:eastAsia="黑体"/>
              <w:color w:val="0070C0"/>
              <w:sz w:val="24"/>
              <w:szCs w:val="24"/>
            </w:rPr>
          </w:pPr>
          <w:r>
            <w:rPr>
              <w:rFonts w:hint="eastAsia" w:ascii="黑体" w:hAnsi="黑体" w:eastAsia="黑体"/>
              <w:color w:val="0070C0"/>
              <w:sz w:val="24"/>
              <w:szCs w:val="24"/>
            </w:rPr>
            <w:t>家用和类似用途插头插座产品描述</w:t>
          </w:r>
        </w:p>
      </w:tc>
      <w:tc>
        <w:tcPr>
          <w:tcW w:w="2115" w:type="dxa"/>
          <w:vAlign w:val="bottom"/>
        </w:tcPr>
        <w:p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>
            <w:rPr>
              <w:rFonts w:eastAsia="方正宋黑简体" w:cstheme="minorHAnsi"/>
              <w:color w:val="0070C0"/>
              <w:sz w:val="18"/>
              <w:szCs w:val="18"/>
            </w:rPr>
            <w:t>CQM</w:t>
          </w:r>
          <w:r>
            <w:rPr>
              <w:rFonts w:hint="eastAsia" w:eastAsia="方正宋黑简体" w:cstheme="minorHAnsi"/>
              <w:color w:val="0070C0"/>
              <w:sz w:val="18"/>
              <w:szCs w:val="18"/>
            </w:rPr>
            <w:t>10</w:t>
          </w:r>
          <w:r>
            <w:rPr>
              <w:rFonts w:eastAsia="方正宋黑简体" w:cstheme="minorHAnsi"/>
              <w:color w:val="0070C0"/>
              <w:sz w:val="18"/>
              <w:szCs w:val="18"/>
            </w:rPr>
            <w:t>-</w:t>
          </w:r>
          <w:r>
            <w:rPr>
              <w:rFonts w:hint="eastAsia" w:eastAsia="方正宋黑简体" w:cstheme="minorHAnsi"/>
              <w:color w:val="0070C0"/>
              <w:sz w:val="18"/>
              <w:szCs w:val="18"/>
            </w:rPr>
            <w:t>C0201</w:t>
          </w:r>
          <w:r>
            <w:rPr>
              <w:rFonts w:eastAsia="方正宋黑简体" w:cstheme="minorHAnsi"/>
              <w:color w:val="0070C0"/>
              <w:sz w:val="18"/>
              <w:szCs w:val="18"/>
            </w:rPr>
            <w:t>-</w:t>
          </w:r>
          <w:r>
            <w:rPr>
              <w:rFonts w:hint="eastAsia" w:eastAsia="方正宋黑简体" w:cstheme="minorHAnsi"/>
              <w:color w:val="0070C0"/>
              <w:sz w:val="18"/>
              <w:szCs w:val="18"/>
            </w:rPr>
            <w:t>11</w:t>
          </w:r>
        </w:p>
        <w:p>
          <w:pPr>
            <w:snapToGrid w:val="0"/>
            <w:spacing w:line="300" w:lineRule="auto"/>
            <w:jc w:val="right"/>
            <w:rPr>
              <w:rFonts w:ascii="方正宋黑简体" w:hAnsi="黑体" w:eastAsia="方正宋黑简体"/>
              <w:color w:val="0070C0"/>
              <w:sz w:val="18"/>
              <w:szCs w:val="18"/>
            </w:rPr>
          </w:pPr>
          <w:r>
            <w:rPr>
              <w:rFonts w:hint="eastAsia" w:eastAsia="方正宋黑简体" w:cstheme="minorHAnsi"/>
              <w:color w:val="0070C0"/>
              <w:sz w:val="18"/>
              <w:szCs w:val="18"/>
            </w:rPr>
            <w:t>20180509</w:t>
          </w:r>
          <w:r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32FD3"/>
    <w:multiLevelType w:val="multilevel"/>
    <w:tmpl w:val="18B32FD3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F8711D6"/>
    <w:multiLevelType w:val="multilevel"/>
    <w:tmpl w:val="2F8711D6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56D27080"/>
    <w:multiLevelType w:val="multilevel"/>
    <w:tmpl w:val="56D27080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NmI4MWY0MWQ4ZjE2MDVlZjQwODJiZjE1YjY4ODcifQ=="/>
  </w:docVars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2B87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47F02"/>
    <w:rsid w:val="00253B96"/>
    <w:rsid w:val="0026282F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68FB"/>
    <w:rsid w:val="00357DC8"/>
    <w:rsid w:val="00366B37"/>
    <w:rsid w:val="003678ED"/>
    <w:rsid w:val="00367F8F"/>
    <w:rsid w:val="00383610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28C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1620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0185B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872A6"/>
    <w:rsid w:val="006A0C7E"/>
    <w:rsid w:val="006A68C5"/>
    <w:rsid w:val="006A7705"/>
    <w:rsid w:val="006B3A36"/>
    <w:rsid w:val="006B733C"/>
    <w:rsid w:val="006C60A4"/>
    <w:rsid w:val="006D1EBD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D7E39"/>
    <w:rsid w:val="007E08B2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D4AE8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7751D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E2986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64F08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E4961"/>
    <w:rsid w:val="00AF0E24"/>
    <w:rsid w:val="00AF28AA"/>
    <w:rsid w:val="00AF2A52"/>
    <w:rsid w:val="00AF4725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4BEE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5A77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D9B"/>
    <w:rsid w:val="00E25FE8"/>
    <w:rsid w:val="00E32BDF"/>
    <w:rsid w:val="00E45B94"/>
    <w:rsid w:val="00E74A5C"/>
    <w:rsid w:val="00E779AB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10D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E767A"/>
    <w:rsid w:val="00FE7827"/>
    <w:rsid w:val="191C2E55"/>
    <w:rsid w:val="406170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6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7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8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9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40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link w:val="4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4">
    <w:name w:val="annotation text"/>
    <w:basedOn w:val="1"/>
    <w:link w:val="44"/>
    <w:semiHidden/>
    <w:unhideWhenUsed/>
    <w:uiPriority w:val="99"/>
    <w:pPr>
      <w:jc w:val="left"/>
    </w:pPr>
  </w:style>
  <w:style w:type="paragraph" w:styleId="15">
    <w:name w:val="Date"/>
    <w:basedOn w:val="1"/>
    <w:next w:val="1"/>
    <w:link w:val="43"/>
    <w:qFormat/>
    <w:uiPriority w:val="0"/>
    <w:pPr>
      <w:ind w:left="100" w:leftChars="2500"/>
    </w:pPr>
    <w:rPr>
      <w:rFonts w:ascii="宋体" w:hAnsi="Times New Roman" w:eastAsia="宋体" w:cs="Times New Roman"/>
      <w:color w:val="000000"/>
      <w:sz w:val="24"/>
      <w:szCs w:val="20"/>
    </w:rPr>
  </w:style>
  <w:style w:type="paragraph" w:styleId="16">
    <w:name w:val="Balloon Text"/>
    <w:basedOn w:val="1"/>
    <w:link w:val="42"/>
    <w:semiHidden/>
    <w:unhideWhenUsed/>
    <w:uiPriority w:val="99"/>
    <w:rPr>
      <w:sz w:val="18"/>
      <w:szCs w:val="18"/>
    </w:rPr>
  </w:style>
  <w:style w:type="paragraph" w:styleId="17">
    <w:name w:val="footer"/>
    <w:basedOn w:val="1"/>
    <w:link w:val="3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2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uiPriority w:val="39"/>
  </w:style>
  <w:style w:type="paragraph" w:styleId="20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21">
    <w:name w:val="toc 2"/>
    <w:basedOn w:val="1"/>
    <w:next w:val="1"/>
    <w:unhideWhenUsed/>
    <w:uiPriority w:val="39"/>
    <w:pPr>
      <w:ind w:left="420" w:leftChars="200"/>
    </w:p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23">
    <w:name w:val="annotation subject"/>
    <w:basedOn w:val="14"/>
    <w:next w:val="14"/>
    <w:link w:val="45"/>
    <w:semiHidden/>
    <w:unhideWhenUsed/>
    <w:uiPriority w:val="99"/>
    <w:rPr>
      <w:b/>
      <w:bCs/>
    </w:rPr>
  </w:style>
  <w:style w:type="table" w:styleId="25">
    <w:name w:val="Table Grid"/>
    <w:basedOn w:val="2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unhideWhenUsed/>
    <w:qFormat/>
    <w:uiPriority w:val="99"/>
    <w:rPr>
      <w:color w:val="0000FF" w:themeColor="hyperlink"/>
      <w:u w:val="single"/>
    </w:rPr>
  </w:style>
  <w:style w:type="character" w:styleId="28">
    <w:name w:val="annotation reference"/>
    <w:basedOn w:val="26"/>
    <w:semiHidden/>
    <w:unhideWhenUsed/>
    <w:uiPriority w:val="99"/>
    <w:rPr>
      <w:sz w:val="21"/>
      <w:szCs w:val="21"/>
    </w:rPr>
  </w:style>
  <w:style w:type="character" w:customStyle="1" w:styleId="29">
    <w:name w:val="页眉 Char"/>
    <w:basedOn w:val="26"/>
    <w:link w:val="18"/>
    <w:qFormat/>
    <w:uiPriority w:val="99"/>
    <w:rPr>
      <w:sz w:val="18"/>
      <w:szCs w:val="18"/>
    </w:rPr>
  </w:style>
  <w:style w:type="character" w:customStyle="1" w:styleId="30">
    <w:name w:val="页脚 Char"/>
    <w:basedOn w:val="26"/>
    <w:link w:val="17"/>
    <w:uiPriority w:val="99"/>
    <w:rPr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标题 1 Char"/>
    <w:basedOn w:val="2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3">
    <w:name w:val="标题 2 Char"/>
    <w:basedOn w:val="2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4">
    <w:name w:val="标题 3 Char"/>
    <w:basedOn w:val="26"/>
    <w:link w:val="4"/>
    <w:qFormat/>
    <w:uiPriority w:val="9"/>
    <w:rPr>
      <w:b/>
      <w:bCs/>
      <w:sz w:val="32"/>
      <w:szCs w:val="32"/>
    </w:rPr>
  </w:style>
  <w:style w:type="character" w:customStyle="1" w:styleId="35">
    <w:name w:val="标题 4 Char"/>
    <w:basedOn w:val="26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6">
    <w:name w:val="标题 5 Char"/>
    <w:basedOn w:val="26"/>
    <w:link w:val="6"/>
    <w:semiHidden/>
    <w:uiPriority w:val="9"/>
    <w:rPr>
      <w:b/>
      <w:bCs/>
      <w:sz w:val="28"/>
      <w:szCs w:val="28"/>
    </w:rPr>
  </w:style>
  <w:style w:type="character" w:customStyle="1" w:styleId="37">
    <w:name w:val="标题 6 Char"/>
    <w:basedOn w:val="26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8">
    <w:name w:val="标题 7 Char"/>
    <w:basedOn w:val="26"/>
    <w:link w:val="8"/>
    <w:semiHidden/>
    <w:qFormat/>
    <w:uiPriority w:val="9"/>
    <w:rPr>
      <w:b/>
      <w:bCs/>
      <w:sz w:val="24"/>
      <w:szCs w:val="24"/>
    </w:rPr>
  </w:style>
  <w:style w:type="character" w:customStyle="1" w:styleId="39">
    <w:name w:val="标题 8 Char"/>
    <w:basedOn w:val="26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0">
    <w:name w:val="标题 9 Char"/>
    <w:basedOn w:val="26"/>
    <w:link w:val="10"/>
    <w:semiHidden/>
    <w:uiPriority w:val="9"/>
    <w:rPr>
      <w:rFonts w:asciiTheme="majorHAnsi" w:hAnsiTheme="majorHAnsi" w:eastAsiaTheme="majorEastAsia" w:cstheme="majorBidi"/>
      <w:szCs w:val="21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42">
    <w:name w:val="批注框文本 Char"/>
    <w:basedOn w:val="26"/>
    <w:link w:val="16"/>
    <w:semiHidden/>
    <w:qFormat/>
    <w:uiPriority w:val="99"/>
    <w:rPr>
      <w:sz w:val="18"/>
      <w:szCs w:val="18"/>
    </w:rPr>
  </w:style>
  <w:style w:type="character" w:customStyle="1" w:styleId="43">
    <w:name w:val="日期 Char"/>
    <w:basedOn w:val="26"/>
    <w:link w:val="15"/>
    <w:qFormat/>
    <w:uiPriority w:val="0"/>
    <w:rPr>
      <w:rFonts w:ascii="宋体" w:hAnsi="Times New Roman" w:eastAsia="宋体" w:cs="Times New Roman"/>
      <w:color w:val="000000"/>
      <w:sz w:val="24"/>
      <w:szCs w:val="20"/>
    </w:rPr>
  </w:style>
  <w:style w:type="character" w:customStyle="1" w:styleId="44">
    <w:name w:val="批注文字 Char"/>
    <w:basedOn w:val="26"/>
    <w:link w:val="14"/>
    <w:semiHidden/>
    <w:uiPriority w:val="99"/>
  </w:style>
  <w:style w:type="character" w:customStyle="1" w:styleId="45">
    <w:name w:val="批注主题 Char"/>
    <w:basedOn w:val="44"/>
    <w:link w:val="23"/>
    <w:semiHidden/>
    <w:qFormat/>
    <w:uiPriority w:val="99"/>
    <w:rPr>
      <w:b/>
      <w:bCs/>
    </w:rPr>
  </w:style>
  <w:style w:type="character" w:customStyle="1" w:styleId="46">
    <w:name w:val="文档结构图 Char"/>
    <w:basedOn w:val="26"/>
    <w:link w:val="1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DECD-A014-482F-9656-44525E99F6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862</Words>
  <Characters>878</Characters>
  <Lines>8</Lines>
  <Paragraphs>2</Paragraphs>
  <TotalTime>110</TotalTime>
  <ScaleCrop>false</ScaleCrop>
  <LinksUpToDate>false</LinksUpToDate>
  <CharactersWithSpaces>1000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2015-08-20T00:32:00Z</dcterms:created>
  <dc:creator>CQMPCT</dc:creator>
  <cp:lastModifiedBy>黄军玲</cp:lastModifiedBy>
  <dcterms:modified xsi:type="dcterms:W3CDTF">2023-06-02T09:53:26Z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B8FF37DF66CB4F11B6949D6CB1EE0AE2_13</vt:lpwstr>
  </property>
</Properties>
</file>